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ABD" w:rsidRPr="00724377" w:rsidRDefault="00D66ABD" w:rsidP="00D66ABD">
      <w:pPr>
        <w:ind w:firstLine="709"/>
        <w:jc w:val="center"/>
        <w:rPr>
          <w:lang w:val="kk-KZ"/>
        </w:rPr>
      </w:pPr>
      <w:r w:rsidRPr="00724377">
        <w:rPr>
          <w:lang w:val="kk-KZ"/>
        </w:rPr>
        <w:t xml:space="preserve">4 </w:t>
      </w:r>
      <w:r>
        <w:rPr>
          <w:lang w:val="kk-KZ"/>
        </w:rPr>
        <w:t>1</w:t>
      </w:r>
      <w:r w:rsidRPr="00724377">
        <w:rPr>
          <w:lang w:val="kk-KZ"/>
        </w:rPr>
        <w:t>кВ - ДЕЙІНГІ ЖЕЛІНІ ҚОРҒАЙТЫН ҚҰРЫЛҒЫЛАР</w:t>
      </w:r>
    </w:p>
    <w:p w:rsidR="00D66ABD" w:rsidRPr="00724377" w:rsidRDefault="00D66ABD" w:rsidP="00D66ABD">
      <w:pPr>
        <w:ind w:firstLine="709"/>
        <w:jc w:val="both"/>
        <w:rPr>
          <w:lang w:val="kk-KZ"/>
        </w:rPr>
      </w:pPr>
    </w:p>
    <w:p w:rsidR="00D66ABD" w:rsidRPr="00724377" w:rsidRDefault="00D66ABD" w:rsidP="00D66ABD">
      <w:pPr>
        <w:ind w:firstLine="709"/>
        <w:jc w:val="both"/>
        <w:rPr>
          <w:lang w:val="kk-KZ"/>
        </w:rPr>
      </w:pPr>
    </w:p>
    <w:p w:rsidR="00D66ABD" w:rsidRPr="00724377" w:rsidRDefault="00D66ABD" w:rsidP="00D66ABD">
      <w:pPr>
        <w:ind w:firstLine="709"/>
        <w:jc w:val="both"/>
        <w:rPr>
          <w:lang w:val="kk-KZ"/>
        </w:rPr>
      </w:pPr>
      <w:r w:rsidRPr="00724377">
        <w:rPr>
          <w:lang w:val="kk-KZ"/>
        </w:rPr>
        <w:t>Өткізгіштерден жасалынған желілер қалыпсыз жұмыс режимінен қорғанысқа ие болуы мүмкін. Оларды қысқа тұйықталу тогы және апаттық жүктелу токтарынан қорғау керек. Желілер автоматты ажыратқыштармен, балқығыш сақтандырғыштармен қорғалынып,</w:t>
      </w:r>
      <w:r w:rsidRPr="00724377">
        <w:rPr>
          <w:rFonts w:ascii="Microsoft Sans Serif" w:hAnsi="Microsoft Sans Serif" w:cs="Microsoft Sans Serif"/>
          <w:noProof w:val="0"/>
          <w:sz w:val="20"/>
          <w:szCs w:val="20"/>
          <w:lang w:val="kk-KZ"/>
        </w:rPr>
        <w:t xml:space="preserve"> </w:t>
      </w:r>
      <w:r w:rsidRPr="00724377">
        <w:rPr>
          <w:noProof w:val="0"/>
          <w:lang w:val="kk-KZ"/>
        </w:rPr>
        <w:t>магниттік іске қосқыштармен, байланыс</w:t>
      </w:r>
      <w:r>
        <w:rPr>
          <w:noProof w:val="0"/>
          <w:lang w:val="kk-KZ"/>
        </w:rPr>
        <w:t xml:space="preserve"> </w:t>
      </w:r>
      <w:r w:rsidRPr="00724377">
        <w:rPr>
          <w:noProof w:val="0"/>
          <w:lang w:val="kk-KZ"/>
        </w:rPr>
        <w:t>қыштармен басқарылады.</w:t>
      </w:r>
      <w:r w:rsidRPr="00724377">
        <w:rPr>
          <w:lang w:val="kk-KZ"/>
        </w:rPr>
        <w:t xml:space="preserve"> </w:t>
      </w:r>
    </w:p>
    <w:p w:rsidR="00D66ABD" w:rsidRPr="00724377" w:rsidRDefault="00D66ABD" w:rsidP="00D66ABD">
      <w:pPr>
        <w:ind w:firstLine="709"/>
        <w:jc w:val="both"/>
        <w:rPr>
          <w:lang w:val="kk-KZ"/>
        </w:rPr>
      </w:pPr>
      <w:r w:rsidRPr="00724377">
        <w:rPr>
          <w:lang w:val="kk-KZ"/>
        </w:rPr>
        <w:t>Қорғаныс құрылғыларының маңызды функциялары – электр қабылдағыш тораптарын сөндіріп, қосу, аса жүктелуден</w:t>
      </w:r>
      <w:r>
        <w:rPr>
          <w:lang w:val="kk-KZ"/>
        </w:rPr>
        <w:t>,</w:t>
      </w:r>
      <w:r w:rsidRPr="00724377">
        <w:rPr>
          <w:lang w:val="kk-KZ"/>
        </w:rPr>
        <w:t xml:space="preserve"> қысқа тұйықталу тогынан қорғау. </w:t>
      </w:r>
    </w:p>
    <w:p w:rsidR="00D66ABD" w:rsidRPr="00724377" w:rsidRDefault="00D66ABD" w:rsidP="00D66ABD">
      <w:pPr>
        <w:ind w:firstLine="709"/>
        <w:jc w:val="both"/>
        <w:rPr>
          <w:lang w:val="kk-KZ"/>
        </w:rPr>
      </w:pPr>
      <w:r w:rsidRPr="00724377">
        <w:rPr>
          <w:lang w:val="kk-KZ"/>
        </w:rPr>
        <w:t>Басқару құрылғыларының маңызды функциялары: электр қабылдағыштарының қозғалтқышын тоқтату және іске қосу, өздігінен қосылу немесе кернеудің төмендеуінен қорғау, жылдамдықты реттеу, реверсивтеу, электрлік тежелу.</w:t>
      </w:r>
    </w:p>
    <w:p w:rsidR="00D66ABD" w:rsidRPr="00724377" w:rsidRDefault="00D66ABD" w:rsidP="00D66ABD">
      <w:pPr>
        <w:ind w:firstLine="709"/>
        <w:jc w:val="both"/>
        <w:rPr>
          <w:lang w:val="kk-KZ"/>
        </w:rPr>
      </w:pPr>
      <w:r w:rsidRPr="00724377">
        <w:rPr>
          <w:lang w:val="kk-KZ"/>
        </w:rPr>
        <w:t>Аталған құрылғылардың әрқайсысы бір немесе бірнеше функцияларды атқарады.</w:t>
      </w:r>
    </w:p>
    <w:p w:rsidR="00D66ABD" w:rsidRPr="00724377" w:rsidRDefault="00D66ABD" w:rsidP="00D66ABD">
      <w:pPr>
        <w:ind w:firstLine="709"/>
        <w:jc w:val="both"/>
        <w:rPr>
          <w:lang w:val="kk-KZ"/>
        </w:rPr>
      </w:pPr>
    </w:p>
    <w:p w:rsidR="00D66ABD" w:rsidRPr="00724377" w:rsidRDefault="00D66ABD" w:rsidP="00D66ABD">
      <w:pPr>
        <w:ind w:firstLine="709"/>
        <w:jc w:val="both"/>
        <w:rPr>
          <w:lang w:val="kk-KZ"/>
        </w:rPr>
      </w:pPr>
    </w:p>
    <w:p w:rsidR="00D66ABD" w:rsidRPr="00724377" w:rsidRDefault="00D66ABD" w:rsidP="00D66ABD">
      <w:pPr>
        <w:ind w:firstLine="709"/>
        <w:jc w:val="center"/>
        <w:rPr>
          <w:b/>
          <w:lang w:val="kk-KZ"/>
        </w:rPr>
      </w:pPr>
      <w:r w:rsidRPr="00724377">
        <w:rPr>
          <w:b/>
          <w:lang w:val="kk-KZ"/>
        </w:rPr>
        <w:t>4.1 Балқығыш сақтандырғыштарды таңдау</w:t>
      </w:r>
    </w:p>
    <w:p w:rsidR="00D66ABD" w:rsidRPr="00724377" w:rsidRDefault="00D66ABD" w:rsidP="00D66ABD">
      <w:pPr>
        <w:ind w:firstLine="709"/>
        <w:jc w:val="both"/>
        <w:rPr>
          <w:lang w:val="kk-KZ"/>
        </w:rPr>
      </w:pPr>
    </w:p>
    <w:p w:rsidR="00D66ABD" w:rsidRPr="00724377" w:rsidRDefault="00D66ABD" w:rsidP="00D66ABD">
      <w:pPr>
        <w:suppressAutoHyphens/>
        <w:ind w:firstLine="709"/>
        <w:jc w:val="both"/>
        <w:rPr>
          <w:lang w:val="kk-KZ"/>
        </w:rPr>
      </w:pPr>
      <w:r w:rsidRPr="00724377">
        <w:rPr>
          <w:lang w:val="kk-KZ"/>
        </w:rPr>
        <w:t>Балқығыш сақтандырғыштарды желілер мен электр қабылдағыштарды қысқа тұйықталу тогынан қорғау үшін қолданылады. Балқығыш сақтандырғыштар номиналды токтан 30-50% жоғары токтарды бір және одан да көп сағат шыдаса, 60-100% бір сағат аз</w:t>
      </w:r>
      <w:r>
        <w:rPr>
          <w:lang w:val="kk-KZ"/>
        </w:rPr>
        <w:t xml:space="preserve"> шыдайды</w:t>
      </w:r>
      <w:r w:rsidRPr="00724377">
        <w:rPr>
          <w:lang w:val="kk-KZ"/>
        </w:rPr>
        <w:t>. Егер осы уақыт аралығында жүктеме тогы номиналдыға дейін азайса, балқығыш тіреу бүтін болып қалады. Балқығыш сақтандырғы</w:t>
      </w:r>
      <w:r>
        <w:rPr>
          <w:lang w:val="kk-KZ"/>
        </w:rPr>
        <w:t>штар – көп жылулық инерциялы</w:t>
      </w:r>
      <w:r w:rsidRPr="00724377">
        <w:rPr>
          <w:lang w:val="kk-KZ"/>
        </w:rPr>
        <w:t>, жүктелуге қарсы шектеулі қабілеті бар инерциясыз болып бөлінеді. Инерциондыға ойығы және қорғасын ток өткізетін көпірі бар сақтандырғыштар жатады. Инерционсызға трубалы мысты ток өткізгішті көпірі және ашық типті штампты тіреуі бар сақтандырғыштар жатады. Конструкциясы бойынша сақтандырғыштарды екі топқа бөледі – толтырғышпен, ұсақ кварц құм толтырылған ПН2, НПН2, ПП17, ПП18 типті және толтырғышсыз ПР2. Кейбір сақтандырғыш типтері: алмалы салмалы сақтандырғыш, алмалы салмалы толтырғышты сақтандырғыш,алмалы салмасыз толтырғышты сақтандырғыш, НПН және ПН.</w:t>
      </w:r>
    </w:p>
    <w:p w:rsidR="00D66ABD" w:rsidRPr="00724377" w:rsidRDefault="00D66ABD" w:rsidP="00D66ABD">
      <w:pPr>
        <w:ind w:firstLine="709"/>
        <w:jc w:val="both"/>
        <w:rPr>
          <w:lang w:val="kk-KZ"/>
        </w:rPr>
      </w:pPr>
      <w:r w:rsidRPr="00724377">
        <w:rPr>
          <w:lang w:val="kk-KZ"/>
        </w:rPr>
        <w:t>Балқығыш сақтандырғыштарды таңдау шарттары.</w:t>
      </w:r>
    </w:p>
    <w:p w:rsidR="00D66ABD" w:rsidRPr="00724377" w:rsidRDefault="00D66ABD" w:rsidP="00D66ABD">
      <w:pPr>
        <w:ind w:firstLine="709"/>
        <w:jc w:val="both"/>
        <w:rPr>
          <w:lang w:val="kk-KZ"/>
        </w:rPr>
      </w:pPr>
      <w:r w:rsidRPr="00724377">
        <w:rPr>
          <w:lang w:val="kk-KZ"/>
        </w:rPr>
        <w:t>Инерциясыз балқығыш тірегі бар сақтандырғыштың номинальды тогы желінің есптелген тогында ағу ұзақтығы шарты бойынша таңдалады (4.1)</w:t>
      </w:r>
    </w:p>
    <w:p w:rsidR="00D66ABD" w:rsidRPr="00724377" w:rsidRDefault="00D66ABD" w:rsidP="00D66ABD">
      <w:pPr>
        <w:ind w:firstLine="709"/>
        <w:jc w:val="center"/>
        <w:rPr>
          <w:lang w:val="kk-KZ"/>
        </w:rPr>
      </w:pPr>
    </w:p>
    <w:p w:rsidR="00D66ABD" w:rsidRPr="00724377" w:rsidRDefault="00D66ABD" w:rsidP="00D66ABD">
      <w:pPr>
        <w:ind w:firstLine="709"/>
        <w:jc w:val="right"/>
        <w:rPr>
          <w:lang w:val="kk-KZ"/>
        </w:rPr>
      </w:pPr>
      <w:r w:rsidRPr="00724377">
        <w:rPr>
          <w:position w:val="-16"/>
        </w:rPr>
        <w:object w:dxaOrig="138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65pt;height:20.95pt" o:ole="">
            <v:imagedata r:id="rId4" o:title=""/>
          </v:shape>
          <o:OLEObject Type="Embed" ProgID="Equation.3" ShapeID="_x0000_i1025" DrawAspect="Content" ObjectID="_1647171285" r:id="rId5"/>
        </w:object>
      </w:r>
      <w:r w:rsidRPr="00724377">
        <w:rPr>
          <w:lang w:val="kk-KZ"/>
        </w:rPr>
        <w:t>.                                            (4.1)</w:t>
      </w:r>
    </w:p>
    <w:p w:rsidR="00D66ABD" w:rsidRPr="00724377" w:rsidRDefault="00D66ABD" w:rsidP="00D66ABD">
      <w:pPr>
        <w:suppressAutoHyphens/>
        <w:ind w:firstLine="709"/>
        <w:jc w:val="both"/>
        <w:rPr>
          <w:lang w:val="kk-KZ"/>
        </w:rPr>
      </w:pPr>
    </w:p>
    <w:p w:rsidR="00D66ABD" w:rsidRPr="00724377" w:rsidRDefault="00D66ABD" w:rsidP="00D66ABD">
      <w:pPr>
        <w:ind w:firstLine="709"/>
        <w:jc w:val="both"/>
        <w:rPr>
          <w:lang w:val="kk-KZ"/>
        </w:rPr>
      </w:pPr>
      <w:r w:rsidRPr="00724377">
        <w:rPr>
          <w:lang w:val="kk-KZ"/>
        </w:rPr>
        <w:t xml:space="preserve">Инерционды сақтандырғыштың номиналды тогы мүмкін токтың еселілігінің сәйкес келуі керек. </w:t>
      </w:r>
      <w:r w:rsidRPr="00724377">
        <w:rPr>
          <w:position w:val="-16"/>
        </w:rPr>
        <w:object w:dxaOrig="1359" w:dyaOrig="420">
          <v:shape id="_x0000_i1026" type="#_x0000_t75" style="width:67.8pt;height:20.95pt" o:ole="">
            <v:imagedata r:id="rId6" o:title=""/>
          </v:shape>
          <o:OLEObject Type="Embed" ProgID="Equation.3" ShapeID="_x0000_i1026" DrawAspect="Content" ObjectID="_1647171286" r:id="rId7"/>
        </w:object>
      </w:r>
    </w:p>
    <w:p w:rsidR="00D66ABD" w:rsidRPr="00724377" w:rsidRDefault="00D66ABD" w:rsidP="00D66ABD">
      <w:pPr>
        <w:suppressAutoHyphens/>
        <w:ind w:firstLine="709"/>
        <w:jc w:val="both"/>
        <w:rPr>
          <w:lang w:val="kk-KZ"/>
        </w:rPr>
      </w:pPr>
      <w:r w:rsidRPr="00724377">
        <w:rPr>
          <w:lang w:val="kk-KZ"/>
        </w:rPr>
        <w:lastRenderedPageBreak/>
        <w:t xml:space="preserve">Электр энергиясын тарататын түйіндерге балқығыш сақтандырғыш таңдау жеріне, яғни күшті жинақтарды, магистральдарда, шина өткізгіштерде </w:t>
      </w:r>
    </w:p>
    <w:p w:rsidR="00D66ABD" w:rsidRPr="00724377" w:rsidRDefault="00D66ABD" w:rsidP="00D66ABD">
      <w:pPr>
        <w:pStyle w:val="a3"/>
        <w:spacing w:after="0"/>
        <w:rPr>
          <w:lang w:val="kk-KZ"/>
        </w:rPr>
      </w:pPr>
      <w:r w:rsidRPr="00724377">
        <w:rPr>
          <w:lang w:val="kk-KZ"/>
        </w:rPr>
        <w:t xml:space="preserve">  4.1 Кесте - НПН және  ПН2 сақтандырғышының техникалық мәлімдемесі</w:t>
      </w:r>
    </w:p>
    <w:tbl>
      <w:tblPr>
        <w:tblW w:w="9553" w:type="dxa"/>
        <w:jc w:val="right"/>
        <w:tblInd w:w="-865" w:type="dxa"/>
        <w:tblLayout w:type="fixed"/>
        <w:tblCellMar>
          <w:left w:w="57" w:type="dxa"/>
          <w:right w:w="57" w:type="dxa"/>
        </w:tblCellMar>
        <w:tblLook w:val="01E0"/>
      </w:tblPr>
      <w:tblGrid>
        <w:gridCol w:w="1467"/>
        <w:gridCol w:w="1368"/>
        <w:gridCol w:w="1134"/>
        <w:gridCol w:w="2526"/>
        <w:gridCol w:w="1656"/>
        <w:gridCol w:w="1402"/>
      </w:tblGrid>
      <w:tr w:rsidR="00D66ABD" w:rsidRPr="00724377" w:rsidTr="00BB490E">
        <w:trPr>
          <w:cantSplit/>
          <w:trHeight w:val="413"/>
          <w:jc w:val="right"/>
        </w:trPr>
        <w:tc>
          <w:tcPr>
            <w:tcW w:w="2835" w:type="dxa"/>
            <w:gridSpan w:val="2"/>
            <w:vMerge w:val="restart"/>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center"/>
              <w:rPr>
                <w:lang w:val="kk-KZ"/>
              </w:rPr>
            </w:pPr>
            <w:r w:rsidRPr="00724377">
              <w:rPr>
                <w:lang w:val="kk-KZ"/>
              </w:rPr>
              <w:t>Сақтандырғыш түрі</w:t>
            </w:r>
          </w:p>
        </w:tc>
        <w:tc>
          <w:tcPr>
            <w:tcW w:w="3660" w:type="dxa"/>
            <w:gridSpan w:val="2"/>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pPr>
            <w:r w:rsidRPr="00724377">
              <w:rPr>
                <w:lang w:val="kk-KZ"/>
              </w:rPr>
              <w:t>Номиналды ток</w:t>
            </w:r>
            <w:r w:rsidRPr="00724377">
              <w:t xml:space="preserve"> </w:t>
            </w:r>
          </w:p>
        </w:tc>
        <w:tc>
          <w:tcPr>
            <w:tcW w:w="1656" w:type="dxa"/>
            <w:vMerge w:val="restart"/>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100"/>
              <w:jc w:val="both"/>
            </w:pPr>
            <w:r w:rsidRPr="00724377">
              <w:rPr>
                <w:rStyle w:val="a4"/>
                <w:lang w:val="kk-KZ"/>
              </w:rPr>
              <w:t>Сөну тогының шектік мәні (әсерлік мән</w:t>
            </w:r>
            <w:r>
              <w:rPr>
                <w:rStyle w:val="a4"/>
                <w:lang w:val="kk-KZ"/>
              </w:rPr>
              <w:t>і</w:t>
            </w:r>
            <w:r w:rsidRPr="00724377">
              <w:t>),</w:t>
            </w:r>
            <w:r w:rsidRPr="00724377">
              <w:rPr>
                <w:lang w:val="kk-KZ"/>
              </w:rPr>
              <w:t xml:space="preserve"> </w:t>
            </w:r>
            <w:r w:rsidRPr="00724377">
              <w:t>А</w:t>
            </w:r>
          </w:p>
        </w:tc>
        <w:tc>
          <w:tcPr>
            <w:tcW w:w="1402" w:type="dxa"/>
            <w:vMerge w:val="restart"/>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4"/>
              <w:jc w:val="both"/>
              <w:rPr>
                <w:lang w:val="kk-KZ"/>
              </w:rPr>
            </w:pPr>
            <w:r w:rsidRPr="00724377">
              <w:rPr>
                <w:lang w:val="kk-KZ"/>
              </w:rPr>
              <w:t xml:space="preserve">Сақтандырғыштың </w:t>
            </w:r>
            <w:r>
              <w:rPr>
                <w:lang w:val="kk-KZ"/>
              </w:rPr>
              <w:t>орналасу түрі</w:t>
            </w:r>
          </w:p>
        </w:tc>
      </w:tr>
      <w:tr w:rsidR="00D66ABD" w:rsidRPr="00724377" w:rsidTr="00BB490E">
        <w:trPr>
          <w:cantSplit/>
          <w:trHeight w:val="1373"/>
          <w:jc w:val="right"/>
        </w:trPr>
        <w:tc>
          <w:tcPr>
            <w:tcW w:w="2835" w:type="dxa"/>
            <w:gridSpan w:val="2"/>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pPr>
          </w:p>
        </w:tc>
        <w:tc>
          <w:tcPr>
            <w:tcW w:w="1134"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center"/>
              <w:rPr>
                <w:lang w:val="kk-KZ"/>
              </w:rPr>
            </w:pPr>
            <w:r w:rsidRPr="00724377">
              <w:rPr>
                <w:lang w:val="kk-KZ"/>
              </w:rPr>
              <w:t>Сақтандырғыштар А</w:t>
            </w:r>
          </w:p>
        </w:tc>
        <w:tc>
          <w:tcPr>
            <w:tcW w:w="252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30"/>
              <w:jc w:val="both"/>
            </w:pPr>
            <w:r w:rsidRPr="00724377">
              <w:rPr>
                <w:lang w:val="kk-KZ"/>
              </w:rPr>
              <w:t>Балқығыш тіреу</w:t>
            </w:r>
            <w:r w:rsidRPr="00724377">
              <w:t>, А</w:t>
            </w:r>
          </w:p>
        </w:tc>
        <w:tc>
          <w:tcPr>
            <w:tcW w:w="1656"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rPr>
                <w:lang w:val="en-US"/>
              </w:rPr>
            </w:pPr>
          </w:p>
        </w:tc>
        <w:tc>
          <w:tcPr>
            <w:tcW w:w="1402"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rPr>
                <w:lang w:val="en-US"/>
              </w:rPr>
            </w:pPr>
          </w:p>
        </w:tc>
      </w:tr>
      <w:tr w:rsidR="00D66ABD" w:rsidRPr="00724377" w:rsidTr="00BB490E">
        <w:trPr>
          <w:trHeight w:val="582"/>
          <w:jc w:val="right"/>
        </w:trPr>
        <w:tc>
          <w:tcPr>
            <w:tcW w:w="2835" w:type="dxa"/>
            <w:gridSpan w:val="2"/>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r w:rsidRPr="00724377">
              <w:t>НПН-15</w:t>
            </w:r>
          </w:p>
          <w:p w:rsidR="00D66ABD" w:rsidRPr="00724377" w:rsidRDefault="00D66ABD" w:rsidP="00BB490E">
            <w:pPr>
              <w:rPr>
                <w:lang w:val="en-US"/>
              </w:rPr>
            </w:pPr>
            <w:r w:rsidRPr="00724377">
              <w:t>НПН-60М</w:t>
            </w:r>
          </w:p>
        </w:tc>
        <w:tc>
          <w:tcPr>
            <w:tcW w:w="1134"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15</w:t>
            </w:r>
          </w:p>
          <w:p w:rsidR="00D66ABD" w:rsidRPr="00724377" w:rsidRDefault="00D66ABD" w:rsidP="00BB490E">
            <w:pPr>
              <w:ind w:firstLine="64"/>
              <w:jc w:val="both"/>
            </w:pPr>
            <w:r w:rsidRPr="00724377">
              <w:t>60</w:t>
            </w:r>
          </w:p>
        </w:tc>
        <w:tc>
          <w:tcPr>
            <w:tcW w:w="252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both"/>
            </w:pPr>
            <w:r w:rsidRPr="00724377">
              <w:t>6; 10; 15</w:t>
            </w:r>
          </w:p>
          <w:p w:rsidR="00D66ABD" w:rsidRPr="00724377" w:rsidRDefault="00D66ABD" w:rsidP="00BB490E">
            <w:pPr>
              <w:jc w:val="both"/>
            </w:pPr>
            <w:r w:rsidRPr="00724377">
              <w:t>20; 25; 35; 45; 60</w:t>
            </w:r>
          </w:p>
        </w:tc>
        <w:tc>
          <w:tcPr>
            <w:tcW w:w="165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pPr>
            <w:r w:rsidRPr="00724377">
              <w:t>–</w:t>
            </w:r>
          </w:p>
          <w:p w:rsidR="00D66ABD" w:rsidRPr="00724377" w:rsidRDefault="00D66ABD" w:rsidP="00BB490E">
            <w:pPr>
              <w:ind w:firstLine="709"/>
            </w:pPr>
            <w:r w:rsidRPr="00724377">
              <w:t>–</w:t>
            </w:r>
          </w:p>
        </w:tc>
        <w:tc>
          <w:tcPr>
            <w:tcW w:w="1402"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rPr>
                <w:lang w:val="en-US"/>
              </w:rPr>
            </w:pPr>
          </w:p>
        </w:tc>
      </w:tr>
      <w:tr w:rsidR="00D66ABD" w:rsidRPr="00724377" w:rsidTr="00BB490E">
        <w:trPr>
          <w:cantSplit/>
          <w:trHeight w:val="317"/>
          <w:jc w:val="right"/>
        </w:trPr>
        <w:tc>
          <w:tcPr>
            <w:tcW w:w="1467" w:type="dxa"/>
            <w:vMerge w:val="restart"/>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both"/>
              <w:rPr>
                <w:lang w:val="kk-KZ"/>
              </w:rPr>
            </w:pPr>
            <w:r w:rsidRPr="00724377">
              <w:rPr>
                <w:lang w:val="kk-KZ"/>
              </w:rPr>
              <w:t>Алмалы-салмалы патрондар</w:t>
            </w:r>
          </w:p>
        </w:tc>
        <w:tc>
          <w:tcPr>
            <w:tcW w:w="1368"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ПН2-100</w:t>
            </w:r>
          </w:p>
        </w:tc>
        <w:tc>
          <w:tcPr>
            <w:tcW w:w="1134"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100</w:t>
            </w:r>
          </w:p>
        </w:tc>
        <w:tc>
          <w:tcPr>
            <w:tcW w:w="252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both"/>
            </w:pPr>
            <w:r w:rsidRPr="00724377">
              <w:t>30; 40; 50; 60; 80; 100</w:t>
            </w:r>
          </w:p>
        </w:tc>
        <w:tc>
          <w:tcPr>
            <w:tcW w:w="165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center"/>
            </w:pPr>
            <w:r w:rsidRPr="00724377">
              <w:t>50000</w:t>
            </w:r>
          </w:p>
        </w:tc>
        <w:tc>
          <w:tcPr>
            <w:tcW w:w="1402" w:type="dxa"/>
            <w:vMerge w:val="restart"/>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4"/>
              <w:jc w:val="both"/>
              <w:rPr>
                <w:lang w:val="kk-KZ"/>
              </w:rPr>
            </w:pPr>
            <w:r w:rsidRPr="00724377">
              <w:rPr>
                <w:lang w:val="kk-KZ"/>
              </w:rPr>
              <w:t>Тік және көлденең жағдайында</w:t>
            </w:r>
          </w:p>
        </w:tc>
      </w:tr>
      <w:tr w:rsidR="00D66ABD" w:rsidRPr="00724377" w:rsidTr="00BB490E">
        <w:trPr>
          <w:cantSplit/>
          <w:trHeight w:val="135"/>
          <w:jc w:val="right"/>
        </w:trPr>
        <w:tc>
          <w:tcPr>
            <w:tcW w:w="1467"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pPr>
          </w:p>
        </w:tc>
        <w:tc>
          <w:tcPr>
            <w:tcW w:w="1368"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ПН2-250</w:t>
            </w:r>
          </w:p>
        </w:tc>
        <w:tc>
          <w:tcPr>
            <w:tcW w:w="1134"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250</w:t>
            </w:r>
          </w:p>
        </w:tc>
        <w:tc>
          <w:tcPr>
            <w:tcW w:w="252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both"/>
            </w:pPr>
            <w:r w:rsidRPr="00724377">
              <w:t>80; 100; 125; 150; 200; 250</w:t>
            </w:r>
          </w:p>
        </w:tc>
        <w:tc>
          <w:tcPr>
            <w:tcW w:w="165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center"/>
            </w:pPr>
            <w:r w:rsidRPr="00724377">
              <w:t>40000</w:t>
            </w:r>
          </w:p>
        </w:tc>
        <w:tc>
          <w:tcPr>
            <w:tcW w:w="1402"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4"/>
              <w:jc w:val="both"/>
              <w:rPr>
                <w:lang w:val="en-US"/>
              </w:rPr>
            </w:pPr>
          </w:p>
        </w:tc>
      </w:tr>
      <w:tr w:rsidR="00D66ABD" w:rsidRPr="00724377" w:rsidTr="00BB490E">
        <w:trPr>
          <w:cantSplit/>
          <w:trHeight w:val="135"/>
          <w:jc w:val="right"/>
        </w:trPr>
        <w:tc>
          <w:tcPr>
            <w:tcW w:w="1467"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rPr>
                <w:lang w:val="en-US"/>
              </w:rPr>
            </w:pPr>
          </w:p>
        </w:tc>
        <w:tc>
          <w:tcPr>
            <w:tcW w:w="1368"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ПН2-400</w:t>
            </w:r>
          </w:p>
        </w:tc>
        <w:tc>
          <w:tcPr>
            <w:tcW w:w="1134"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400</w:t>
            </w:r>
          </w:p>
        </w:tc>
        <w:tc>
          <w:tcPr>
            <w:tcW w:w="252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both"/>
            </w:pPr>
            <w:r w:rsidRPr="00724377">
              <w:t>200; 250; 300; 400</w:t>
            </w:r>
          </w:p>
        </w:tc>
        <w:tc>
          <w:tcPr>
            <w:tcW w:w="165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center"/>
            </w:pPr>
            <w:r w:rsidRPr="00724377">
              <w:t>25000</w:t>
            </w:r>
          </w:p>
        </w:tc>
        <w:tc>
          <w:tcPr>
            <w:tcW w:w="1402" w:type="dxa"/>
            <w:vMerge w:val="restart"/>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4"/>
              <w:jc w:val="both"/>
              <w:rPr>
                <w:lang w:val="kk-KZ"/>
              </w:rPr>
            </w:pPr>
            <w:r w:rsidRPr="00724377">
              <w:rPr>
                <w:lang w:val="kk-KZ"/>
              </w:rPr>
              <w:t>Тік жағдайында</w:t>
            </w:r>
          </w:p>
        </w:tc>
      </w:tr>
      <w:tr w:rsidR="00D66ABD" w:rsidRPr="00724377" w:rsidTr="00BB490E">
        <w:trPr>
          <w:cantSplit/>
          <w:trHeight w:val="135"/>
          <w:jc w:val="right"/>
        </w:trPr>
        <w:tc>
          <w:tcPr>
            <w:tcW w:w="1467"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rPr>
                <w:lang w:val="en-US"/>
              </w:rPr>
            </w:pPr>
          </w:p>
        </w:tc>
        <w:tc>
          <w:tcPr>
            <w:tcW w:w="1368"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ПН2-600</w:t>
            </w:r>
          </w:p>
        </w:tc>
        <w:tc>
          <w:tcPr>
            <w:tcW w:w="1134"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600</w:t>
            </w:r>
          </w:p>
        </w:tc>
        <w:tc>
          <w:tcPr>
            <w:tcW w:w="252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both"/>
            </w:pPr>
            <w:r w:rsidRPr="00724377">
              <w:t>300; 400; 500; 600</w:t>
            </w:r>
          </w:p>
        </w:tc>
        <w:tc>
          <w:tcPr>
            <w:tcW w:w="165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center"/>
            </w:pPr>
            <w:r w:rsidRPr="00724377">
              <w:t>25000</w:t>
            </w:r>
          </w:p>
        </w:tc>
        <w:tc>
          <w:tcPr>
            <w:tcW w:w="1402"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rPr>
                <w:lang w:val="en-US"/>
              </w:rPr>
            </w:pPr>
          </w:p>
        </w:tc>
      </w:tr>
      <w:tr w:rsidR="00D66ABD" w:rsidRPr="00724377" w:rsidTr="00BB490E">
        <w:trPr>
          <w:cantSplit/>
          <w:trHeight w:val="135"/>
          <w:jc w:val="right"/>
        </w:trPr>
        <w:tc>
          <w:tcPr>
            <w:tcW w:w="1467"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rPr>
                <w:lang w:val="en-US"/>
              </w:rPr>
            </w:pPr>
          </w:p>
        </w:tc>
        <w:tc>
          <w:tcPr>
            <w:tcW w:w="1368"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ПН2-1000</w:t>
            </w:r>
          </w:p>
        </w:tc>
        <w:tc>
          <w:tcPr>
            <w:tcW w:w="1134"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64"/>
              <w:jc w:val="both"/>
            </w:pPr>
            <w:r w:rsidRPr="00724377">
              <w:t>1000</w:t>
            </w:r>
          </w:p>
        </w:tc>
        <w:tc>
          <w:tcPr>
            <w:tcW w:w="252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both"/>
            </w:pPr>
            <w:r w:rsidRPr="00724377">
              <w:t>500; 600; 750; 800; 1000</w:t>
            </w:r>
          </w:p>
        </w:tc>
        <w:tc>
          <w:tcPr>
            <w:tcW w:w="1656" w:type="dxa"/>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jc w:val="center"/>
            </w:pPr>
            <w:r w:rsidRPr="00724377">
              <w:t>10000</w:t>
            </w:r>
          </w:p>
        </w:tc>
        <w:tc>
          <w:tcPr>
            <w:tcW w:w="1402" w:type="dxa"/>
            <w:vMerge/>
            <w:tcBorders>
              <w:top w:val="single" w:sz="4" w:space="0" w:color="auto"/>
              <w:left w:val="single" w:sz="4" w:space="0" w:color="auto"/>
              <w:bottom w:val="single" w:sz="4" w:space="0" w:color="auto"/>
              <w:right w:val="single" w:sz="4" w:space="0" w:color="auto"/>
            </w:tcBorders>
            <w:vAlign w:val="center"/>
          </w:tcPr>
          <w:p w:rsidR="00D66ABD" w:rsidRPr="00724377" w:rsidRDefault="00D66ABD" w:rsidP="00BB490E">
            <w:pPr>
              <w:ind w:firstLine="709"/>
              <w:jc w:val="both"/>
              <w:rPr>
                <w:lang w:val="en-US"/>
              </w:rPr>
            </w:pPr>
          </w:p>
        </w:tc>
      </w:tr>
    </w:tbl>
    <w:p w:rsidR="00D66ABD" w:rsidRPr="00724377" w:rsidRDefault="00D66ABD" w:rsidP="00D66ABD">
      <w:pPr>
        <w:ind w:firstLine="709"/>
        <w:jc w:val="both"/>
        <w:rPr>
          <w:lang w:val="en-US"/>
        </w:rPr>
      </w:pPr>
    </w:p>
    <w:p w:rsidR="00D66ABD" w:rsidRPr="00724377" w:rsidRDefault="00D66ABD" w:rsidP="00D66ABD">
      <w:pPr>
        <w:suppressAutoHyphens/>
        <w:ind w:firstLine="709"/>
        <w:jc w:val="both"/>
      </w:pPr>
    </w:p>
    <w:p w:rsidR="00D66ABD" w:rsidRPr="00724377" w:rsidRDefault="00D66ABD" w:rsidP="00D66ABD">
      <w:pPr>
        <w:jc w:val="both"/>
        <w:rPr>
          <w:lang w:val="kk-KZ"/>
        </w:rPr>
      </w:pPr>
      <w:r w:rsidRPr="00724377">
        <w:rPr>
          <w:lang w:val="kk-KZ"/>
        </w:rPr>
        <w:t>қабылдағыш тобы үшін мүмкін ток есептеу тогына тең деп, ал жеке қабылдағыштарды қорғау үшін мүмкін ток номиналдығы тең деп аламыз.</w:t>
      </w:r>
    </w:p>
    <w:p w:rsidR="00D66ABD" w:rsidRPr="00724377" w:rsidRDefault="00D66ABD" w:rsidP="00D66ABD">
      <w:pPr>
        <w:ind w:firstLine="709"/>
        <w:jc w:val="both"/>
        <w:rPr>
          <w:lang w:val="kk-KZ"/>
        </w:rPr>
      </w:pPr>
      <w:r w:rsidRPr="00724377">
        <w:rPr>
          <w:lang w:val="kk-KZ"/>
        </w:rPr>
        <w:t xml:space="preserve">Желілер мен электр қабылдағышының қалыпты жұмысын қамтамасыз ету үшін балқығыш сақтандырғышты аз уақытты жүктелу тогына келтіреді. </w:t>
      </w:r>
      <w:r w:rsidRPr="00724377">
        <w:rPr>
          <w:position w:val="-12"/>
        </w:rPr>
        <w:object w:dxaOrig="440" w:dyaOrig="380">
          <v:shape id="_x0000_i1027" type="#_x0000_t75" style="width:21.75pt;height:19.25pt" o:ole="">
            <v:imagedata r:id="rId8" o:title=""/>
          </v:shape>
          <o:OLEObject Type="Embed" ProgID="Equation.3" ShapeID="_x0000_i1027" DrawAspect="Content" ObjectID="_1647171287" r:id="rId9"/>
        </w:object>
      </w:r>
      <w:r w:rsidRPr="00724377">
        <w:rPr>
          <w:lang w:val="kk-KZ"/>
        </w:rPr>
        <w:t>.</w:t>
      </w:r>
    </w:p>
    <w:p w:rsidR="00D66ABD" w:rsidRPr="00724377" w:rsidRDefault="00D66ABD" w:rsidP="00D66ABD">
      <w:pPr>
        <w:ind w:firstLine="709"/>
        <w:jc w:val="both"/>
        <w:rPr>
          <w:lang w:val="kk-KZ"/>
        </w:rPr>
      </w:pPr>
      <w:r w:rsidRPr="00724377">
        <w:rPr>
          <w:lang w:val="kk-KZ"/>
        </w:rPr>
        <w:t>Жеке қабылдағыштырдың аз уақытты тогы ретінде іске қосу токтары, ал қабылдағыш тогтары үшін пиктік токтар алынады.</w:t>
      </w:r>
    </w:p>
    <w:p w:rsidR="00D66ABD" w:rsidRPr="00724377" w:rsidRDefault="00D66ABD" w:rsidP="00D66ABD">
      <w:pPr>
        <w:ind w:firstLine="709"/>
        <w:jc w:val="center"/>
        <w:rPr>
          <w:lang w:val="kk-KZ"/>
        </w:rPr>
      </w:pPr>
    </w:p>
    <w:p w:rsidR="00D66ABD" w:rsidRPr="00724377" w:rsidRDefault="00D66ABD" w:rsidP="00D66ABD">
      <w:pPr>
        <w:ind w:firstLine="709"/>
        <w:jc w:val="right"/>
        <w:rPr>
          <w:lang w:val="kk-KZ"/>
        </w:rPr>
      </w:pPr>
      <w:r w:rsidRPr="00724377">
        <w:rPr>
          <w:position w:val="-32"/>
        </w:rPr>
        <w:object w:dxaOrig="3140" w:dyaOrig="760">
          <v:shape id="_x0000_i1028" type="#_x0000_t75" style="width:157.4pt;height:37.65pt" o:ole="">
            <v:imagedata r:id="rId10" o:title=""/>
          </v:shape>
          <o:OLEObject Type="Embed" ProgID="Equation.3" ShapeID="_x0000_i1028" DrawAspect="Content" ObjectID="_1647171288" r:id="rId11"/>
        </w:object>
      </w:r>
      <w:r w:rsidRPr="00724377">
        <w:rPr>
          <w:lang w:val="kk-KZ"/>
        </w:rPr>
        <w:t xml:space="preserve">                                 (4.2)</w:t>
      </w:r>
    </w:p>
    <w:p w:rsidR="00D66ABD" w:rsidRPr="00724377" w:rsidRDefault="00D66ABD" w:rsidP="00D66ABD">
      <w:pPr>
        <w:ind w:firstLine="709"/>
        <w:jc w:val="both"/>
        <w:rPr>
          <w:lang w:val="kk-KZ"/>
        </w:rPr>
      </w:pPr>
    </w:p>
    <w:p w:rsidR="00D66ABD" w:rsidRPr="00724377" w:rsidRDefault="00D66ABD" w:rsidP="00D66ABD">
      <w:pPr>
        <w:ind w:firstLine="709"/>
        <w:jc w:val="both"/>
        <w:rPr>
          <w:lang w:val="kk-KZ"/>
        </w:rPr>
      </w:pPr>
      <w:r w:rsidRPr="00724377">
        <w:rPr>
          <w:lang w:val="kk-KZ"/>
        </w:rPr>
        <w:t xml:space="preserve">мұнда </w:t>
      </w:r>
      <w:r w:rsidRPr="00724377">
        <w:rPr>
          <w:position w:val="-12"/>
        </w:rPr>
        <w:object w:dxaOrig="1320" w:dyaOrig="380">
          <v:shape id="_x0000_i1029" type="#_x0000_t75" style="width:66.15pt;height:19.25pt" o:ole="">
            <v:imagedata r:id="rId12" o:title=""/>
          </v:shape>
          <o:OLEObject Type="Embed" ProgID="Equation.3" ShapeID="_x0000_i1029" DrawAspect="Content" ObjectID="_1647171289" r:id="rId13"/>
        </w:object>
      </w:r>
      <w:r w:rsidRPr="00724377">
        <w:rPr>
          <w:lang w:val="kk-KZ"/>
        </w:rPr>
        <w:t xml:space="preserve"> қабылдағыш топтар үшін,</w:t>
      </w:r>
    </w:p>
    <w:p w:rsidR="00D66ABD" w:rsidRPr="00724377" w:rsidRDefault="00D66ABD" w:rsidP="00D66ABD">
      <w:pPr>
        <w:ind w:firstLine="1560"/>
        <w:jc w:val="both"/>
        <w:rPr>
          <w:lang w:val="kk-KZ"/>
        </w:rPr>
      </w:pPr>
      <w:r w:rsidRPr="00724377">
        <w:rPr>
          <w:position w:val="-12"/>
        </w:rPr>
        <w:object w:dxaOrig="1280" w:dyaOrig="380">
          <v:shape id="_x0000_i1030" type="#_x0000_t75" style="width:63.65pt;height:19.25pt" o:ole="">
            <v:imagedata r:id="rId14" o:title=""/>
          </v:shape>
          <o:OLEObject Type="Embed" ProgID="Equation.3" ShapeID="_x0000_i1030" DrawAspect="Content" ObjectID="_1647171290" r:id="rId15"/>
        </w:object>
      </w:r>
      <w:r w:rsidRPr="00724377">
        <w:rPr>
          <w:lang w:val="kk-KZ"/>
        </w:rPr>
        <w:t xml:space="preserve"> жеке қабылдағыш үшін</w:t>
      </w:r>
    </w:p>
    <w:p w:rsidR="00D66ABD" w:rsidRPr="00724377" w:rsidRDefault="00D66ABD" w:rsidP="00D66ABD">
      <w:pPr>
        <w:ind w:firstLine="1560"/>
        <w:jc w:val="both"/>
        <w:rPr>
          <w:lang w:val="kk-KZ"/>
        </w:rPr>
      </w:pPr>
      <w:r w:rsidRPr="00724377">
        <w:sym w:font="Symbol" w:char="F061"/>
      </w:r>
      <w:r w:rsidRPr="00724377">
        <w:rPr>
          <w:lang w:val="kk-KZ"/>
        </w:rPr>
        <w:t xml:space="preserve"> - электр қабылдағышының іске қосу тогын төмендеті коэффициенті, жеңіл іске қосылуда </w:t>
      </w:r>
      <w:r w:rsidRPr="00724377">
        <w:sym w:font="Symbol" w:char="F061"/>
      </w:r>
      <w:r w:rsidRPr="00724377">
        <w:rPr>
          <w:lang w:val="kk-KZ"/>
        </w:rPr>
        <w:t xml:space="preserve">=2,5; ауыр іске қосылуды </w:t>
      </w:r>
      <w:r w:rsidRPr="00724377">
        <w:sym w:font="Symbol" w:char="F061"/>
      </w:r>
      <w:r w:rsidRPr="00724377">
        <w:rPr>
          <w:lang w:val="kk-KZ"/>
        </w:rPr>
        <w:t xml:space="preserve">=1,6 орташа кезінде  </w:t>
      </w:r>
      <w:r w:rsidRPr="00724377">
        <w:sym w:font="Symbol" w:char="F061"/>
      </w:r>
      <w:r w:rsidRPr="00724377">
        <w:rPr>
          <w:lang w:val="kk-KZ"/>
        </w:rPr>
        <w:t>=2,0.</w:t>
      </w:r>
    </w:p>
    <w:p w:rsidR="00D66ABD" w:rsidRPr="00724377" w:rsidRDefault="00D66ABD" w:rsidP="00D66ABD">
      <w:pPr>
        <w:ind w:firstLine="709"/>
        <w:jc w:val="both"/>
        <w:rPr>
          <w:lang w:val="kk-KZ"/>
        </w:rPr>
      </w:pPr>
      <w:r w:rsidRPr="00724377">
        <w:rPr>
          <w:lang w:val="kk-KZ"/>
        </w:rPr>
        <w:t>Желдеткіштердің, насостардың, компрессорлардың электр қозғалтқыштарының біртекті қолдану графигі бар балқығыштардың жеңіл іске қосылу болады. Орташа іске қосылуға метал өңдейтін станоктар жетегін жатқызуға болады.</w:t>
      </w:r>
    </w:p>
    <w:p w:rsidR="00D66ABD" w:rsidRPr="00724377" w:rsidRDefault="00D66ABD" w:rsidP="00D66ABD">
      <w:pPr>
        <w:ind w:firstLine="709"/>
        <w:jc w:val="both"/>
        <w:rPr>
          <w:lang w:val="kk-KZ"/>
        </w:rPr>
      </w:pPr>
      <w:r w:rsidRPr="00724377">
        <w:rPr>
          <w:lang w:val="kk-KZ"/>
        </w:rPr>
        <w:t xml:space="preserve">Жиі және тартылу іске қосылуы бар жалғыз қабылдағыштарға балқығыш сақтандырғыш таңдау кезінде </w:t>
      </w:r>
      <w:r w:rsidRPr="00724377">
        <w:rPr>
          <w:position w:val="-12"/>
        </w:rPr>
        <w:object w:dxaOrig="2920" w:dyaOrig="380">
          <v:shape id="_x0000_i1031" type="#_x0000_t75" style="width:161.6pt;height:18.4pt" o:ole="">
            <v:imagedata r:id="rId16" o:title=""/>
          </v:shape>
          <o:OLEObject Type="Embed" ProgID="Equation.3" ShapeID="_x0000_i1031" DrawAspect="Content" ObjectID="_1647171291" r:id="rId17"/>
        </w:object>
      </w:r>
      <w:r w:rsidRPr="00724377">
        <w:rPr>
          <w:lang w:val="kk-KZ"/>
        </w:rPr>
        <w:t xml:space="preserve"> тең болады.</w:t>
      </w:r>
    </w:p>
    <w:p w:rsidR="00D66ABD" w:rsidRPr="00724377" w:rsidRDefault="00D66ABD" w:rsidP="00D66ABD">
      <w:pPr>
        <w:ind w:firstLine="709"/>
        <w:jc w:val="both"/>
        <w:rPr>
          <w:lang w:val="kk-KZ"/>
        </w:rPr>
      </w:pPr>
      <w:r w:rsidRPr="00724377">
        <w:rPr>
          <w:lang w:val="kk-KZ"/>
        </w:rPr>
        <w:lastRenderedPageBreak/>
        <w:t xml:space="preserve">Қабылдағыш топтараның пик токтар келесі формуламен есептеледі </w:t>
      </w:r>
    </w:p>
    <w:p w:rsidR="00D66ABD" w:rsidRPr="00724377" w:rsidRDefault="00D66ABD" w:rsidP="00D66ABD">
      <w:pPr>
        <w:ind w:firstLine="709"/>
        <w:jc w:val="both"/>
        <w:rPr>
          <w:lang w:val="kk-KZ"/>
        </w:rPr>
      </w:pPr>
    </w:p>
    <w:p w:rsidR="00D66ABD" w:rsidRPr="00724377" w:rsidRDefault="00D66ABD" w:rsidP="00D66ABD">
      <w:pPr>
        <w:ind w:firstLine="709"/>
        <w:jc w:val="right"/>
      </w:pPr>
      <w:r w:rsidRPr="00724377">
        <w:rPr>
          <w:position w:val="-12"/>
        </w:rPr>
        <w:object w:dxaOrig="3440" w:dyaOrig="380">
          <v:shape id="_x0000_i1032" type="#_x0000_t75" style="width:171.65pt;height:19.25pt" o:ole="">
            <v:imagedata r:id="rId18" o:title=""/>
          </v:shape>
          <o:OLEObject Type="Embed" ProgID="Equation.3" ShapeID="_x0000_i1032" DrawAspect="Content" ObjectID="_1647171292" r:id="rId19"/>
        </w:object>
      </w:r>
      <w:r w:rsidRPr="00724377">
        <w:t xml:space="preserve">                                  (4.3)</w:t>
      </w:r>
    </w:p>
    <w:p w:rsidR="00D66ABD" w:rsidRPr="00724377" w:rsidRDefault="00D66ABD" w:rsidP="00D66ABD">
      <w:pPr>
        <w:ind w:firstLine="709"/>
        <w:jc w:val="both"/>
      </w:pPr>
      <w:r w:rsidRPr="00724377">
        <w:rPr>
          <w:lang w:val="kk-KZ"/>
        </w:rPr>
        <w:t xml:space="preserve">мұнда </w:t>
      </w:r>
      <w:r w:rsidRPr="00724377">
        <w:rPr>
          <w:position w:val="-12"/>
        </w:rPr>
        <w:object w:dxaOrig="620" w:dyaOrig="380">
          <v:shape id="_x0000_i1033" type="#_x0000_t75" style="width:31pt;height:19.25pt" o:ole="">
            <v:imagedata r:id="rId20" o:title=""/>
          </v:shape>
          <o:OLEObject Type="Embed" ProgID="Equation.3" ShapeID="_x0000_i1033" DrawAspect="Content" ObjectID="_1647171293" r:id="rId21"/>
        </w:object>
      </w:r>
      <w:r w:rsidRPr="00724377">
        <w:t xml:space="preserve"> - </w:t>
      </w:r>
      <w:r w:rsidRPr="00724377">
        <w:rPr>
          <w:lang w:val="kk-KZ"/>
        </w:rPr>
        <w:t>топта максималды ток тудыратын қабылдағыштың іске қосу тогы</w:t>
      </w:r>
      <w:r w:rsidRPr="00724377">
        <w:t>, А</w:t>
      </w:r>
    </w:p>
    <w:p w:rsidR="00D66ABD" w:rsidRPr="00724377" w:rsidRDefault="00D66ABD" w:rsidP="00D66ABD">
      <w:pPr>
        <w:ind w:firstLine="709"/>
        <w:jc w:val="both"/>
      </w:pPr>
      <w:r w:rsidRPr="00724377">
        <w:rPr>
          <w:position w:val="-12"/>
        </w:rPr>
        <w:object w:dxaOrig="300" w:dyaOrig="380">
          <v:shape id="_x0000_i1034" type="#_x0000_t75" style="width:15.05pt;height:19.25pt" o:ole="">
            <v:imagedata r:id="rId22" o:title=""/>
          </v:shape>
          <o:OLEObject Type="Embed" ProgID="Equation.3" ShapeID="_x0000_i1034" DrawAspect="Content" ObjectID="_1647171294" r:id="rId23"/>
        </w:object>
      </w:r>
      <w:r w:rsidRPr="00724377">
        <w:t xml:space="preserve">- </w:t>
      </w:r>
      <w:r w:rsidRPr="00724377">
        <w:rPr>
          <w:lang w:val="kk-KZ"/>
        </w:rPr>
        <w:t>топтың есептік тогы</w:t>
      </w:r>
      <w:r w:rsidRPr="00724377">
        <w:t xml:space="preserve">, А </w:t>
      </w:r>
    </w:p>
    <w:p w:rsidR="00D66ABD" w:rsidRPr="00724377" w:rsidRDefault="00D66ABD" w:rsidP="00D66ABD">
      <w:pPr>
        <w:ind w:firstLine="709"/>
        <w:jc w:val="both"/>
      </w:pPr>
      <w:r w:rsidRPr="00724377">
        <w:rPr>
          <w:position w:val="-12"/>
        </w:rPr>
        <w:object w:dxaOrig="660" w:dyaOrig="380">
          <v:shape id="_x0000_i1035" type="#_x0000_t75" style="width:32.65pt;height:19.25pt" o:ole="">
            <v:imagedata r:id="rId24" o:title=""/>
          </v:shape>
          <o:OLEObject Type="Embed" ProgID="Equation.3" ShapeID="_x0000_i1035" DrawAspect="Content" ObjectID="_1647171295" r:id="rId25"/>
        </w:object>
      </w:r>
      <w:r w:rsidRPr="00724377">
        <w:t xml:space="preserve"> - </w:t>
      </w:r>
      <w:r w:rsidRPr="00724377">
        <w:rPr>
          <w:lang w:val="kk-KZ"/>
        </w:rPr>
        <w:t>аталған қабылдағыштың номиналды тогы</w:t>
      </w:r>
      <w:r w:rsidRPr="00724377">
        <w:t>, А</w:t>
      </w:r>
    </w:p>
    <w:p w:rsidR="00D66ABD" w:rsidRPr="00724377" w:rsidRDefault="00D66ABD" w:rsidP="00D66ABD">
      <w:pPr>
        <w:ind w:firstLine="709"/>
        <w:jc w:val="both"/>
      </w:pPr>
      <w:r w:rsidRPr="00724377">
        <w:rPr>
          <w:position w:val="-12"/>
        </w:rPr>
        <w:object w:dxaOrig="460" w:dyaOrig="380">
          <v:shape id="_x0000_i1036" type="#_x0000_t75" style="width:22.6pt;height:19.25pt" o:ole="">
            <v:imagedata r:id="rId26" o:title=""/>
          </v:shape>
          <o:OLEObject Type="Embed" ProgID="Equation.3" ShapeID="_x0000_i1036" DrawAspect="Content" ObjectID="_1647171296" r:id="rId27"/>
        </w:object>
      </w:r>
      <w:r w:rsidRPr="00724377">
        <w:t xml:space="preserve"> - </w:t>
      </w:r>
      <w:r w:rsidRPr="00724377">
        <w:rPr>
          <w:lang w:val="kk-KZ"/>
        </w:rPr>
        <w:t xml:space="preserve">осы қабылдағыштың қолдану коэффиценті </w:t>
      </w:r>
    </w:p>
    <w:p w:rsidR="00D66ABD" w:rsidRPr="00724377" w:rsidRDefault="00D66ABD" w:rsidP="00D66ABD">
      <w:pPr>
        <w:ind w:firstLine="709"/>
        <w:jc w:val="both"/>
        <w:rPr>
          <w:lang w:val="kk-KZ"/>
        </w:rPr>
      </w:pPr>
      <w:r w:rsidRPr="00724377">
        <w:rPr>
          <w:lang w:val="kk-KZ"/>
        </w:rPr>
        <w:t>Қабылдағыштың іске қосылу тогы келесі формуламен анықталады.</w:t>
      </w:r>
    </w:p>
    <w:p w:rsidR="00D66ABD" w:rsidRPr="00724377" w:rsidRDefault="00D66ABD" w:rsidP="00D66ABD">
      <w:pPr>
        <w:ind w:firstLine="709"/>
        <w:jc w:val="center"/>
      </w:pPr>
    </w:p>
    <w:p w:rsidR="00D66ABD" w:rsidRPr="00724377" w:rsidRDefault="00D66ABD" w:rsidP="00D66ABD">
      <w:pPr>
        <w:ind w:firstLine="709"/>
        <w:jc w:val="right"/>
      </w:pPr>
      <w:r w:rsidRPr="00724377">
        <w:rPr>
          <w:position w:val="-12"/>
        </w:rPr>
        <w:object w:dxaOrig="2320" w:dyaOrig="380">
          <v:shape id="_x0000_i1037" type="#_x0000_t75" style="width:116.35pt;height:19.25pt" o:ole="">
            <v:imagedata r:id="rId28" o:title=""/>
          </v:shape>
          <o:OLEObject Type="Embed" ProgID="Equation.3" ShapeID="_x0000_i1037" DrawAspect="Content" ObjectID="_1647171297" r:id="rId29"/>
        </w:object>
      </w:r>
      <w:r w:rsidRPr="00724377">
        <w:t xml:space="preserve">                                      (4.4)</w:t>
      </w:r>
    </w:p>
    <w:p w:rsidR="00D66ABD" w:rsidRPr="00724377" w:rsidRDefault="00D66ABD" w:rsidP="00D66ABD">
      <w:pPr>
        <w:ind w:firstLine="709"/>
        <w:jc w:val="both"/>
      </w:pPr>
    </w:p>
    <w:p w:rsidR="00D66ABD" w:rsidRPr="00724377" w:rsidRDefault="00D66ABD" w:rsidP="00D66ABD">
      <w:pPr>
        <w:ind w:firstLine="709"/>
        <w:jc w:val="both"/>
        <w:rPr>
          <w:lang w:val="kk-KZ"/>
        </w:rPr>
      </w:pPr>
      <w:r w:rsidRPr="00724377">
        <w:rPr>
          <w:lang w:val="kk-KZ"/>
        </w:rPr>
        <w:t xml:space="preserve">мұнда </w:t>
      </w:r>
      <w:r w:rsidRPr="00724377">
        <w:t>К</w:t>
      </w:r>
      <w:r w:rsidRPr="00724377">
        <w:rPr>
          <w:vertAlign w:val="subscript"/>
        </w:rPr>
        <w:t>ПУС</w:t>
      </w:r>
      <w:r w:rsidRPr="00724377">
        <w:t xml:space="preserve"> – </w:t>
      </w:r>
      <w:r w:rsidRPr="00724377">
        <w:rPr>
          <w:lang w:val="kk-KZ"/>
        </w:rPr>
        <w:t>іске қосу тогының еселігі, А.</w:t>
      </w:r>
    </w:p>
    <w:p w:rsidR="00D66ABD" w:rsidRPr="00724377" w:rsidRDefault="00D66ABD" w:rsidP="00D66ABD">
      <w:pPr>
        <w:ind w:firstLine="709"/>
        <w:jc w:val="both"/>
        <w:rPr>
          <w:lang w:val="kk-KZ"/>
        </w:rPr>
      </w:pPr>
      <w:r w:rsidRPr="00724377">
        <w:rPr>
          <w:lang w:val="kk-KZ"/>
        </w:rPr>
        <w:t xml:space="preserve">Құрылғылардың, сонымен қатар балқығыш сақтандырғыш қорғанысы </w:t>
      </w:r>
      <w:r>
        <w:rPr>
          <w:lang w:val="kk-KZ"/>
        </w:rPr>
        <w:t xml:space="preserve">реттелмелі </w:t>
      </w:r>
      <w:r w:rsidRPr="00724377">
        <w:rPr>
          <w:lang w:val="kk-KZ"/>
        </w:rPr>
        <w:t>болуы қажет. Бұл қажеттікке жеке аймақтарда қорек түйініне қарай артуымен</w:t>
      </w:r>
      <w:r>
        <w:rPr>
          <w:lang w:val="kk-KZ"/>
        </w:rPr>
        <w:t xml:space="preserve"> </w:t>
      </w:r>
      <w:r w:rsidRPr="00724377">
        <w:rPr>
          <w:lang w:val="kk-KZ"/>
        </w:rPr>
        <w:t>балқығыш тіреу таңдау арқылы жетуге болады. Бұл кезде сақтандырғыштың жоғары сатысындағы ток төменгісінен 2 есе көп</w:t>
      </w:r>
      <w:r>
        <w:rPr>
          <w:lang w:val="kk-KZ"/>
        </w:rPr>
        <w:t xml:space="preserve"> боады.</w:t>
      </w:r>
      <w:r w:rsidRPr="00724377">
        <w:rPr>
          <w:lang w:val="kk-KZ"/>
        </w:rPr>
        <w:t>.</w:t>
      </w:r>
    </w:p>
    <w:p w:rsidR="00D66ABD" w:rsidRPr="00724377" w:rsidRDefault="00D66ABD" w:rsidP="00D66ABD">
      <w:pPr>
        <w:ind w:firstLine="709"/>
        <w:jc w:val="both"/>
        <w:rPr>
          <w:lang w:val="kk-KZ"/>
        </w:rPr>
      </w:pPr>
      <w:r w:rsidRPr="00724377">
        <w:rPr>
          <w:lang w:val="kk-KZ"/>
        </w:rPr>
        <w:t xml:space="preserve">Қорғаныстың таңдауын қамтамассыз ету үшін желінің аралас екі бөлімінде балқығыш тіреу тек керекті желіні сөндіретіндей таңдауымыз керек. </w:t>
      </w:r>
    </w:p>
    <w:p w:rsidR="00D66ABD" w:rsidRPr="00724377" w:rsidRDefault="00D66ABD" w:rsidP="00D66ABD">
      <w:pPr>
        <w:ind w:firstLine="709"/>
        <w:jc w:val="both"/>
        <w:rPr>
          <w:lang w:val="kk-KZ"/>
        </w:rPr>
      </w:pPr>
      <w:r w:rsidRPr="00724377">
        <w:rPr>
          <w:lang w:val="kk-KZ"/>
        </w:rPr>
        <w:t>Балқығыш сақтандырғышты таңдау мысалы номиналды кернеуі U</w:t>
      </w:r>
      <w:r w:rsidRPr="00724377">
        <w:rPr>
          <w:vertAlign w:val="subscript"/>
          <w:lang w:val="kk-KZ"/>
        </w:rPr>
        <w:t>Н</w:t>
      </w:r>
      <w:r w:rsidRPr="00724377">
        <w:rPr>
          <w:lang w:val="kk-KZ"/>
        </w:rPr>
        <w:t>=380В, есептік тогы I</w:t>
      </w:r>
      <w:r w:rsidRPr="00724377">
        <w:rPr>
          <w:vertAlign w:val="subscript"/>
          <w:lang w:val="kk-KZ"/>
        </w:rPr>
        <w:t>P</w:t>
      </w:r>
      <w:r w:rsidRPr="00724377">
        <w:rPr>
          <w:lang w:val="kk-KZ"/>
        </w:rPr>
        <w:t xml:space="preserve">=338 А. </w:t>
      </w:r>
    </w:p>
    <w:p w:rsidR="00D66ABD" w:rsidRPr="00724377" w:rsidRDefault="00D66ABD" w:rsidP="00D66ABD">
      <w:pPr>
        <w:ind w:firstLine="709"/>
        <w:jc w:val="both"/>
        <w:rPr>
          <w:lang w:val="kk-KZ"/>
        </w:rPr>
      </w:pPr>
      <w:r w:rsidRPr="00724377">
        <w:rPr>
          <w:lang w:val="kk-KZ"/>
        </w:rPr>
        <w:t xml:space="preserve">Жүктік құрам ШРС-11 түріне балқығыш сақтандырғышты таңдау топтағы ең үлкен іске қосылу тогын тудыратын электр қабылдағыштың берілгені: </w:t>
      </w:r>
    </w:p>
    <w:p w:rsidR="00D66ABD" w:rsidRPr="00724377" w:rsidRDefault="00D66ABD" w:rsidP="00D66ABD">
      <w:pPr>
        <w:ind w:firstLine="709"/>
        <w:jc w:val="both"/>
        <w:rPr>
          <w:lang w:val="kk-KZ"/>
        </w:rPr>
      </w:pPr>
      <w:r w:rsidRPr="00724377">
        <w:rPr>
          <w:lang w:val="kk-KZ"/>
        </w:rPr>
        <w:t>Р</w:t>
      </w:r>
      <w:r w:rsidRPr="00724377">
        <w:rPr>
          <w:vertAlign w:val="subscript"/>
          <w:lang w:val="kk-KZ"/>
        </w:rPr>
        <w:t>Н</w:t>
      </w:r>
      <w:r w:rsidRPr="00724377">
        <w:rPr>
          <w:lang w:val="kk-KZ"/>
        </w:rPr>
        <w:t>=28 кВт; К</w:t>
      </w:r>
      <w:r w:rsidRPr="00724377">
        <w:rPr>
          <w:vertAlign w:val="subscript"/>
          <w:lang w:val="kk-KZ"/>
        </w:rPr>
        <w:t>И</w:t>
      </w:r>
      <w:r w:rsidRPr="00724377">
        <w:rPr>
          <w:lang w:val="kk-KZ"/>
        </w:rPr>
        <w:t>=0,55;  соs</w:t>
      </w:r>
      <w:r w:rsidRPr="00724377">
        <w:rPr>
          <w:lang w:val="en-US"/>
        </w:rPr>
        <w:sym w:font="Symbol" w:char="F06A"/>
      </w:r>
      <w:r w:rsidRPr="00724377">
        <w:rPr>
          <w:lang w:val="kk-KZ"/>
        </w:rPr>
        <w:t>=0,75; іске қосылу тогының еселігі  К</w:t>
      </w:r>
      <w:r w:rsidRPr="00724377">
        <w:rPr>
          <w:vertAlign w:val="subscript"/>
          <w:lang w:val="kk-KZ"/>
        </w:rPr>
        <w:t>П</w:t>
      </w:r>
      <w:r w:rsidRPr="00724377">
        <w:rPr>
          <w:lang w:val="kk-KZ"/>
        </w:rPr>
        <w:t>=5.</w:t>
      </w:r>
    </w:p>
    <w:p w:rsidR="00D66ABD" w:rsidRPr="00724377" w:rsidRDefault="00D66ABD" w:rsidP="00D66ABD">
      <w:pPr>
        <w:ind w:firstLine="709"/>
        <w:jc w:val="both"/>
        <w:rPr>
          <w:lang w:val="kk-KZ"/>
        </w:rPr>
      </w:pPr>
      <w:r w:rsidRPr="00724377">
        <w:rPr>
          <w:lang w:val="kk-KZ"/>
        </w:rPr>
        <w:t>Шешуі:</w:t>
      </w:r>
    </w:p>
    <w:p w:rsidR="00D66ABD" w:rsidRPr="00724377" w:rsidRDefault="00D66ABD" w:rsidP="00D66ABD">
      <w:pPr>
        <w:ind w:firstLine="709"/>
        <w:jc w:val="both"/>
        <w:rPr>
          <w:lang w:val="kk-KZ"/>
        </w:rPr>
      </w:pPr>
      <w:r w:rsidRPr="00724377">
        <w:rPr>
          <w:lang w:val="kk-KZ"/>
        </w:rPr>
        <w:t xml:space="preserve">1) Электр қабылдағышының номиналды тогы есептеледі </w:t>
      </w:r>
    </w:p>
    <w:p w:rsidR="00D66ABD" w:rsidRPr="00724377" w:rsidRDefault="00D66ABD" w:rsidP="00D66ABD">
      <w:pPr>
        <w:ind w:firstLine="709"/>
        <w:jc w:val="both"/>
        <w:rPr>
          <w:lang w:val="kk-KZ"/>
        </w:rPr>
      </w:pPr>
    </w:p>
    <w:p w:rsidR="00D66ABD" w:rsidRPr="00724377" w:rsidRDefault="00D66ABD" w:rsidP="00D66ABD">
      <w:pPr>
        <w:ind w:firstLine="709"/>
        <w:jc w:val="right"/>
        <w:rPr>
          <w:lang w:val="kk-KZ"/>
        </w:rPr>
      </w:pPr>
      <w:r w:rsidRPr="00724377">
        <w:rPr>
          <w:position w:val="-34"/>
        </w:rPr>
        <w:object w:dxaOrig="3040" w:dyaOrig="780">
          <v:shape id="_x0000_i1038" type="#_x0000_t75" style="width:152.35pt;height:39.35pt" o:ole="">
            <v:imagedata r:id="rId30" o:title=""/>
          </v:shape>
          <o:OLEObject Type="Embed" ProgID="Equation.3" ShapeID="_x0000_i1038" DrawAspect="Content" ObjectID="_1647171298" r:id="rId31"/>
        </w:object>
      </w:r>
      <w:r w:rsidRPr="00724377">
        <w:rPr>
          <w:lang w:val="kk-KZ"/>
        </w:rPr>
        <w:t xml:space="preserve">                                  (4.5)</w:t>
      </w:r>
    </w:p>
    <w:p w:rsidR="00D66ABD" w:rsidRPr="00724377" w:rsidRDefault="00D66ABD" w:rsidP="00D66ABD">
      <w:pPr>
        <w:ind w:firstLine="709"/>
        <w:jc w:val="both"/>
        <w:rPr>
          <w:lang w:val="kk-KZ"/>
        </w:rPr>
      </w:pPr>
    </w:p>
    <w:p w:rsidR="00D66ABD" w:rsidRPr="00724377" w:rsidRDefault="00D66ABD" w:rsidP="00D66ABD">
      <w:pPr>
        <w:ind w:firstLine="709"/>
        <w:jc w:val="center"/>
        <w:rPr>
          <w:lang w:val="kk-KZ"/>
        </w:rPr>
      </w:pPr>
      <w:r w:rsidRPr="00724377">
        <w:rPr>
          <w:position w:val="-34"/>
        </w:rPr>
        <w:object w:dxaOrig="4300" w:dyaOrig="780">
          <v:shape id="_x0000_i1039" type="#_x0000_t75" style="width:215.15pt;height:39.35pt" o:ole="">
            <v:imagedata r:id="rId32" o:title=""/>
          </v:shape>
          <o:OLEObject Type="Embed" ProgID="Equation.3" ShapeID="_x0000_i1039" DrawAspect="Content" ObjectID="_1647171299" r:id="rId33"/>
        </w:object>
      </w:r>
      <w:r w:rsidRPr="00724377">
        <w:rPr>
          <w:lang w:val="kk-KZ"/>
        </w:rPr>
        <w:t>.</w:t>
      </w:r>
    </w:p>
    <w:p w:rsidR="00D66ABD" w:rsidRPr="00724377" w:rsidRDefault="00D66ABD" w:rsidP="00D66ABD">
      <w:pPr>
        <w:ind w:firstLine="709"/>
        <w:jc w:val="both"/>
        <w:rPr>
          <w:lang w:val="kk-KZ"/>
        </w:rPr>
      </w:pPr>
    </w:p>
    <w:p w:rsidR="00D66ABD" w:rsidRPr="00724377" w:rsidRDefault="00D66ABD" w:rsidP="00D66ABD">
      <w:pPr>
        <w:ind w:firstLine="709"/>
        <w:jc w:val="both"/>
        <w:rPr>
          <w:lang w:val="kk-KZ"/>
        </w:rPr>
      </w:pPr>
      <w:r w:rsidRPr="00724377">
        <w:rPr>
          <w:lang w:val="kk-KZ"/>
        </w:rPr>
        <w:t xml:space="preserve">2) электр қабылдағышының іске қосылу тогы </w:t>
      </w:r>
    </w:p>
    <w:p w:rsidR="00D66ABD" w:rsidRPr="00724377" w:rsidRDefault="00D66ABD" w:rsidP="00D66ABD">
      <w:pPr>
        <w:ind w:firstLine="709"/>
        <w:jc w:val="both"/>
        <w:rPr>
          <w:lang w:val="kk-KZ"/>
        </w:rPr>
      </w:pPr>
    </w:p>
    <w:p w:rsidR="00D66ABD" w:rsidRPr="00724377" w:rsidRDefault="00D66ABD" w:rsidP="00D66ABD">
      <w:pPr>
        <w:ind w:firstLine="709"/>
        <w:jc w:val="right"/>
        <w:rPr>
          <w:lang w:val="kk-KZ"/>
        </w:rPr>
      </w:pPr>
      <w:r w:rsidRPr="00724377">
        <w:rPr>
          <w:position w:val="-12"/>
        </w:rPr>
        <w:object w:dxaOrig="2320" w:dyaOrig="380">
          <v:shape id="_x0000_i1040" type="#_x0000_t75" style="width:116.35pt;height:19.25pt" o:ole="">
            <v:imagedata r:id="rId34" o:title=""/>
          </v:shape>
          <o:OLEObject Type="Embed" ProgID="Equation.3" ShapeID="_x0000_i1040" DrawAspect="Content" ObjectID="_1647171300" r:id="rId35"/>
        </w:object>
      </w:r>
      <w:r w:rsidRPr="00724377">
        <w:rPr>
          <w:lang w:val="kk-KZ"/>
        </w:rPr>
        <w:t>,                                       (4.6)</w:t>
      </w:r>
    </w:p>
    <w:p w:rsidR="00D66ABD" w:rsidRPr="00724377" w:rsidRDefault="00D66ABD" w:rsidP="00D66ABD">
      <w:pPr>
        <w:ind w:firstLine="709"/>
        <w:jc w:val="both"/>
        <w:rPr>
          <w:lang w:val="kk-KZ"/>
        </w:rPr>
      </w:pPr>
    </w:p>
    <w:p w:rsidR="00D66ABD" w:rsidRPr="00724377" w:rsidRDefault="00D66ABD" w:rsidP="00D66ABD">
      <w:pPr>
        <w:ind w:firstLine="709"/>
        <w:jc w:val="center"/>
        <w:rPr>
          <w:lang w:val="kk-KZ"/>
        </w:rPr>
      </w:pPr>
      <w:r w:rsidRPr="00724377">
        <w:rPr>
          <w:position w:val="-12"/>
        </w:rPr>
        <w:object w:dxaOrig="2900" w:dyaOrig="380">
          <v:shape id="_x0000_i1041" type="#_x0000_t75" style="width:144.85pt;height:19.25pt" o:ole="">
            <v:imagedata r:id="rId36" o:title=""/>
          </v:shape>
          <o:OLEObject Type="Embed" ProgID="Equation.3" ShapeID="_x0000_i1041" DrawAspect="Content" ObjectID="_1647171301" r:id="rId37"/>
        </w:object>
      </w:r>
      <w:r w:rsidRPr="00724377">
        <w:rPr>
          <w:lang w:val="kk-KZ"/>
        </w:rPr>
        <w:t>.</w:t>
      </w:r>
    </w:p>
    <w:p w:rsidR="00D66ABD" w:rsidRPr="00724377" w:rsidRDefault="00D66ABD" w:rsidP="00D66ABD">
      <w:pPr>
        <w:ind w:firstLine="709"/>
        <w:jc w:val="both"/>
        <w:rPr>
          <w:lang w:val="kk-KZ"/>
        </w:rPr>
      </w:pPr>
    </w:p>
    <w:p w:rsidR="00D66ABD" w:rsidRPr="00724377" w:rsidRDefault="00D66ABD" w:rsidP="00D66ABD">
      <w:pPr>
        <w:ind w:firstLine="709"/>
        <w:jc w:val="both"/>
        <w:rPr>
          <w:lang w:val="kk-KZ"/>
        </w:rPr>
      </w:pPr>
      <w:r w:rsidRPr="00724377">
        <w:rPr>
          <w:lang w:val="kk-KZ"/>
        </w:rPr>
        <w:t>3) (4.3) бойынша топтың пиктік тогы</w:t>
      </w:r>
    </w:p>
    <w:p w:rsidR="00D66ABD" w:rsidRPr="00724377" w:rsidRDefault="00D66ABD" w:rsidP="00D66ABD">
      <w:pPr>
        <w:ind w:firstLine="709"/>
        <w:jc w:val="both"/>
        <w:rPr>
          <w:lang w:val="kk-KZ"/>
        </w:rPr>
      </w:pPr>
    </w:p>
    <w:p w:rsidR="00D66ABD" w:rsidRPr="00724377" w:rsidRDefault="00D66ABD" w:rsidP="00D66ABD">
      <w:pPr>
        <w:ind w:firstLine="709"/>
        <w:jc w:val="center"/>
        <w:rPr>
          <w:lang w:val="kk-KZ"/>
        </w:rPr>
      </w:pPr>
      <w:r w:rsidRPr="00724377">
        <w:rPr>
          <w:position w:val="-12"/>
        </w:rPr>
        <w:object w:dxaOrig="4860" w:dyaOrig="380">
          <v:shape id="_x0000_i1042" type="#_x0000_t75" style="width:242.8pt;height:19.25pt" o:ole="">
            <v:imagedata r:id="rId38" o:title=""/>
          </v:shape>
          <o:OLEObject Type="Embed" ProgID="Equation.3" ShapeID="_x0000_i1042" DrawAspect="Content" ObjectID="_1647171302" r:id="rId39"/>
        </w:object>
      </w:r>
      <w:r w:rsidRPr="00724377">
        <w:rPr>
          <w:lang w:val="kk-KZ"/>
        </w:rPr>
        <w:t>.</w:t>
      </w:r>
    </w:p>
    <w:p w:rsidR="00D66ABD" w:rsidRPr="00724377" w:rsidRDefault="00D66ABD" w:rsidP="00D66ABD">
      <w:pPr>
        <w:ind w:firstLine="709"/>
        <w:jc w:val="both"/>
        <w:rPr>
          <w:lang w:val="kk-KZ"/>
        </w:rPr>
      </w:pPr>
    </w:p>
    <w:p w:rsidR="00D66ABD" w:rsidRPr="00724377" w:rsidRDefault="00D66ABD" w:rsidP="00D66ABD">
      <w:pPr>
        <w:ind w:firstLine="709"/>
        <w:jc w:val="both"/>
        <w:rPr>
          <w:lang w:val="kk-KZ"/>
        </w:rPr>
      </w:pPr>
      <w:r w:rsidRPr="00724377">
        <w:rPr>
          <w:lang w:val="kk-KZ"/>
        </w:rPr>
        <w:t>4) Созылмалы режимнің ұзақ тогы бойынша сақтандырғыштың балқығыш тіреуін таңдау шарты және іске қосылу тогынан келтірілуі</w:t>
      </w:r>
    </w:p>
    <w:p w:rsidR="00D66ABD" w:rsidRPr="00724377" w:rsidRDefault="00D66ABD" w:rsidP="00D66ABD">
      <w:pPr>
        <w:ind w:firstLine="709"/>
        <w:jc w:val="center"/>
      </w:pPr>
      <w:r w:rsidRPr="00724377">
        <w:rPr>
          <w:position w:val="-12"/>
        </w:rPr>
        <w:object w:dxaOrig="2840" w:dyaOrig="380">
          <v:shape id="_x0000_i1043" type="#_x0000_t75" style="width:142.35pt;height:19.25pt" o:ole="">
            <v:imagedata r:id="rId40" o:title=""/>
          </v:shape>
          <o:OLEObject Type="Embed" ProgID="Equation.3" ShapeID="_x0000_i1043" DrawAspect="Content" ObjectID="_1647171303" r:id="rId41"/>
        </w:object>
      </w:r>
    </w:p>
    <w:p w:rsidR="00D66ABD" w:rsidRPr="00724377" w:rsidRDefault="00D66ABD" w:rsidP="00D66ABD">
      <w:pPr>
        <w:ind w:firstLine="709"/>
        <w:jc w:val="both"/>
      </w:pPr>
    </w:p>
    <w:p w:rsidR="00D66ABD" w:rsidRPr="00724377" w:rsidRDefault="00D66ABD" w:rsidP="00D66ABD">
      <w:pPr>
        <w:ind w:firstLine="709"/>
        <w:jc w:val="center"/>
      </w:pPr>
      <w:r w:rsidRPr="00724377">
        <w:rPr>
          <w:position w:val="-32"/>
        </w:rPr>
        <w:object w:dxaOrig="2820" w:dyaOrig="760">
          <v:shape id="_x0000_i1044" type="#_x0000_t75" style="width:140.65pt;height:37.65pt" o:ole="">
            <v:imagedata r:id="rId42" o:title=""/>
          </v:shape>
          <o:OLEObject Type="Embed" ProgID="Equation.3" ShapeID="_x0000_i1044" DrawAspect="Content" ObjectID="_1647171304" r:id="rId43"/>
        </w:object>
      </w:r>
      <w:r w:rsidRPr="00724377">
        <w:t>.</w:t>
      </w:r>
    </w:p>
    <w:p w:rsidR="00D66ABD" w:rsidRPr="00724377" w:rsidRDefault="00D66ABD" w:rsidP="00D66ABD">
      <w:pPr>
        <w:ind w:firstLine="709"/>
        <w:jc w:val="both"/>
      </w:pPr>
    </w:p>
    <w:p w:rsidR="00D66ABD" w:rsidRPr="00724377" w:rsidRDefault="00D66ABD" w:rsidP="00D66ABD">
      <w:pPr>
        <w:ind w:firstLine="709"/>
        <w:jc w:val="both"/>
      </w:pPr>
      <w:r w:rsidRPr="00724377">
        <w:t>5) ПН2-400</w:t>
      </w:r>
      <w:r w:rsidRPr="00724377">
        <w:rPr>
          <w:lang w:val="kk-KZ"/>
        </w:rPr>
        <w:t xml:space="preserve"> сақтандырғышы таңдалады, патронның номиналды тогы</w:t>
      </w:r>
      <w:r w:rsidRPr="00724377">
        <w:t xml:space="preserve"> </w:t>
      </w:r>
      <w:r w:rsidRPr="00724377">
        <w:rPr>
          <w:position w:val="-12"/>
        </w:rPr>
        <w:object w:dxaOrig="1420" w:dyaOrig="380">
          <v:shape id="_x0000_i1045" type="#_x0000_t75" style="width:71.15pt;height:19.25pt" o:ole="">
            <v:imagedata r:id="rId44" o:title=""/>
          </v:shape>
          <o:OLEObject Type="Embed" ProgID="Equation.3" ShapeID="_x0000_i1045" DrawAspect="Content" ObjectID="_1647171305" r:id="rId45"/>
        </w:object>
      </w:r>
      <w:r w:rsidRPr="00724377">
        <w:rPr>
          <w:lang w:val="kk-KZ"/>
        </w:rPr>
        <w:t xml:space="preserve">, және балқығыш тіреудің тогы </w:t>
      </w:r>
      <w:r w:rsidRPr="00724377">
        <w:rPr>
          <w:position w:val="-12"/>
        </w:rPr>
        <w:object w:dxaOrig="1640" w:dyaOrig="380">
          <v:shape id="_x0000_i1046" type="#_x0000_t75" style="width:82.05pt;height:19.25pt" o:ole="">
            <v:imagedata r:id="rId46" o:title=""/>
          </v:shape>
          <o:OLEObject Type="Embed" ProgID="Equation.3" ShapeID="_x0000_i1046" DrawAspect="Content" ObjectID="_1647171306" r:id="rId47"/>
        </w:object>
      </w:r>
      <w:r w:rsidRPr="00724377">
        <w:rPr>
          <w:lang w:val="kk-KZ"/>
        </w:rPr>
        <w:t>тең</w:t>
      </w:r>
      <w:r w:rsidRPr="00724377">
        <w:t>.</w:t>
      </w:r>
    </w:p>
    <w:p w:rsidR="00D66ABD" w:rsidRPr="00724377" w:rsidRDefault="00D66ABD" w:rsidP="00D66ABD">
      <w:pPr>
        <w:ind w:firstLine="709"/>
        <w:jc w:val="both"/>
      </w:pPr>
    </w:p>
    <w:p w:rsidR="00420A2B" w:rsidRDefault="00420A2B"/>
    <w:sectPr w:rsidR="00420A2B" w:rsidSect="00420A2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D66ABD"/>
    <w:rsid w:val="00420A2B"/>
    <w:rsid w:val="00D66A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6ABD"/>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66ABD"/>
    <w:pPr>
      <w:spacing w:after="120"/>
    </w:pPr>
  </w:style>
  <w:style w:type="character" w:customStyle="1" w:styleId="a4">
    <w:name w:val="Основной текст Знак"/>
    <w:basedOn w:val="a0"/>
    <w:link w:val="a3"/>
    <w:rsid w:val="00D66ABD"/>
    <w:rPr>
      <w:rFonts w:ascii="Times New Roman" w:eastAsia="Times New Roman" w:hAnsi="Times New Roman" w:cs="Times New Roman"/>
      <w:noProof/>
      <w:sz w:val="28"/>
      <w:szCs w:val="28"/>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2.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oleObject" Target="embeddings/oleObject19.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1.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fontTable" Target="fontTable.xml"/><Relationship Id="rId8"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868</Words>
  <Characters>4951</Characters>
  <Application>Microsoft Office Word</Application>
  <DocSecurity>0</DocSecurity>
  <Lines>41</Lines>
  <Paragraphs>11</Paragraphs>
  <ScaleCrop>false</ScaleCrop>
  <Company/>
  <LinksUpToDate>false</LinksUpToDate>
  <CharactersWithSpaces>5808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2020-03-31T08:47:00Z</dcterms:created>
  <dcterms:modified xsi:type="dcterms:W3CDTF">2020-03-31T08:48:00Z</dcterms:modified>
</cp:coreProperties>
</file>